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0F2A47"/>
          <w:sz w:val="40"/>
        </w:rPr>
        <w:t>BenefitAgent.ai — Sample Firm</w:t>
      </w:r>
    </w:p>
    <w:p>
      <w:pPr>
        <w:spacing w:after="40"/>
      </w:pPr>
      <w:r>
        <w:rPr>
          <w:color w:val="555555"/>
          <w:sz w:val="19"/>
        </w:rPr>
        <w:t>200 W Madison Street, Suite 2400  ·  Chicago, IL 60606</w:t>
        <w:br/>
      </w:r>
      <w:r>
        <w:rPr>
          <w:color w:val="555555"/>
          <w:sz w:val="19"/>
        </w:rPr>
        <w:t>demo@benefitagent.ai  ·  (312) 555-0142</w:t>
        <w:br/>
      </w:r>
    </w:p>
    <w:p>
      <w:pPr>
        <w:spacing w:before="160" w:after="400"/>
        <w:pBdr>
          <w:bottom w:val="single" w:sz="8" w:space="1" w:color="B8854A"/>
        </w:pBdr>
      </w:pPr>
    </w:p>
    <w:p>
      <w:pPr>
        <w:spacing w:after="80"/>
      </w:pPr>
      <w:r>
        <w:rPr>
          <w:rFonts w:ascii="Calibri" w:hAnsi="Calibri"/>
          <w:b/>
          <w:color w:val="B8854A"/>
          <w:sz w:val="18"/>
        </w:rPr>
        <w:t>REQUEST FOR PROPOSAL  ·  2026 RENEWAL CYCLE</w:t>
      </w:r>
    </w:p>
    <w:p>
      <w:pPr>
        <w:spacing w:after="40"/>
      </w:pPr>
      <w:r>
        <w:rPr>
          <w:rFonts w:ascii="Calibri" w:hAnsi="Calibri"/>
          <w:b/>
          <w:color w:val="0F2A47"/>
          <w:sz w:val="56"/>
        </w:rPr>
        <w:t>ACME Corporation</w:t>
      </w:r>
    </w:p>
    <w:p>
      <w:pPr>
        <w:spacing w:after="280"/>
      </w:pPr>
      <w:r>
        <w:rPr>
          <w:rFonts w:ascii="Calibri" w:hAnsi="Calibri"/>
          <w:color w:val="555555"/>
          <w:sz w:val="30"/>
        </w:rPr>
        <w:t>2026 Group Medical Renewal</w:t>
      </w:r>
    </w:p>
    <w:p>
      <w:r>
        <w:rPr>
          <w:rFonts w:ascii="Calibri" w:hAnsi="Calibri"/>
          <w:b w:val="0"/>
          <w:i w:val="0"/>
          <w:color w:val="555555"/>
          <w:sz w:val="19"/>
        </w:rPr>
        <w:t>Issued  ·  May 09, 2026</w:t>
      </w:r>
    </w:p>
    <w:p>
      <w:pPr>
        <w:spacing w:before="360" w:after="160"/>
      </w:pPr>
      <w:r>
        <w:rPr>
          <w:b/>
          <w:color w:val="0F2A47"/>
          <w:sz w:val="32"/>
        </w:rPr>
        <w:t>Cover letter</w:t>
      </w:r>
    </w:p>
    <w:p>
      <w:r>
        <w:rPr>
          <w:rFonts w:ascii="Calibri" w:hAnsi="Calibri"/>
          <w:b w:val="0"/>
          <w:i w:val="0"/>
          <w:sz w:val="22"/>
        </w:rPr>
        <w:t>To the Underwriting Team,</w:t>
        <w:br/>
        <w:br/>
        <w:t>On behalf of ACME Corporation (Industrial Machinery, IL), we invite your organization to submit a binding quote for group medical coverage effective 2026-07-01. The current carrier is UnitedHealthcare. The renewal as proposed reflects a composite increase of approximately 14.0% with material plan-design degradation, which has prompted the group to market the case.</w:t>
        <w:br/>
        <w:br/>
        <w:t>This document provides the group profile, current plan design, claims experience summary, and the RFP questions for your response. Please return your proposal by the date noted in the Submission section.</w:t>
      </w:r>
    </w:p>
    <w:p>
      <w:r>
        <w:rPr>
          <w:rFonts w:ascii="Calibri" w:hAnsi="Calibri"/>
          <w:b w:val="0"/>
          <w:i w:val="0"/>
          <w:sz w:val="22"/>
        </w:rPr>
        <w:t>Sincerely,</w:t>
      </w:r>
    </w:p>
    <w:p>
      <w:r>
        <w:rPr>
          <w:rFonts w:ascii="Calibri" w:hAnsi="Calibri"/>
          <w:b/>
          <w:i w:val="0"/>
          <w:sz w:val="22"/>
        </w:rPr>
        <w:t>Sample Producer</w:t>
      </w:r>
    </w:p>
    <w:p>
      <w:r>
        <w:rPr>
          <w:rFonts w:ascii="Calibri" w:hAnsi="Calibri"/>
          <w:b w:val="0"/>
          <w:i w:val="0"/>
          <w:color w:val="555555"/>
          <w:sz w:val="22"/>
        </w:rPr>
        <w:t>Senior Benefits Consultant</w:t>
      </w:r>
    </w:p>
    <w:p>
      <w:r>
        <w:rPr>
          <w:rFonts w:ascii="Calibri" w:hAnsi="Calibri"/>
          <w:b w:val="0"/>
          <w:i w:val="0"/>
          <w:color w:val="555555"/>
          <w:sz w:val="22"/>
        </w:rPr>
        <w:t>BenefitAgent.ai — Sample Firm</w:t>
      </w:r>
    </w:p>
    <w:p>
      <w:r>
        <w:rPr>
          <w:rFonts w:ascii="Calibri" w:hAnsi="Calibri"/>
          <w:b w:val="0"/>
          <w:i w:val="0"/>
          <w:color w:val="555555"/>
          <w:sz w:val="20"/>
        </w:rPr>
        <w:t>demo@benefitagent.ai  |  (312) 555-0142</w:t>
      </w:r>
    </w:p>
    <w:p>
      <w:pPr>
        <w:spacing w:before="360" w:after="160"/>
      </w:pPr>
      <w:r>
        <w:rPr>
          <w:b/>
          <w:color w:val="0F2A47"/>
          <w:sz w:val="32"/>
        </w:rPr>
        <w:t>Group profile</w:t>
      </w:r>
    </w:p>
    <w:tbl>
      <w:tblPr>
        <w:tblW w:type="auto" w:w="0"/>
        <w:tblLayout w:type="fixed"/>
        <w:tblLook w:firstColumn="1" w:firstRow="1" w:lastColumn="0" w:lastRow="0" w:noHBand="0" w:noVBand="1" w:val="04A0"/>
      </w:tblPr>
      <w:tblGrid>
        <w:gridCol w:w="4680"/>
        <w:gridCol w:w="4680"/>
      </w:tblGrid>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Group name</w:t>
            </w:r>
          </w:p>
        </w:tc>
        <w:tc>
          <w:tcPr>
            <w:tcW w:type="dxa" w:w="6192"/>
            <w:tcBorders>
              <w:top w:val="single" w:sz="6" w:color="CCCCCC"/>
              <w:left w:val="single" w:sz="6" w:color="CCCCCC"/>
              <w:bottom w:val="single" w:sz="6" w:color="CCCCCC"/>
              <w:right w:val="single" w:sz="6" w:color="CCCCCC"/>
            </w:tcBorders>
            <w:vAlign w:val="center"/>
          </w:tcPr>
          <w:p>
            <w:r/>
            <w:r>
              <w:rPr>
                <w:sz w:val="20"/>
              </w:rPr>
              <w:t>ACME Corporation</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State of issue</w:t>
            </w:r>
          </w:p>
        </w:tc>
        <w:tc>
          <w:tcPr>
            <w:tcW w:type="dxa" w:w="6192"/>
            <w:tcBorders>
              <w:top w:val="single" w:sz="6" w:color="CCCCCC"/>
              <w:left w:val="single" w:sz="6" w:color="CCCCCC"/>
              <w:bottom w:val="single" w:sz="6" w:color="CCCCCC"/>
              <w:right w:val="single" w:sz="6" w:color="CCCCCC"/>
            </w:tcBorders>
            <w:vAlign w:val="center"/>
          </w:tcPr>
          <w:p>
            <w:r/>
            <w:r>
              <w:rPr>
                <w:sz w:val="20"/>
              </w:rPr>
              <w:t>IL</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Industry / SIC</w:t>
            </w:r>
          </w:p>
        </w:tc>
        <w:tc>
          <w:tcPr>
            <w:tcW w:type="dxa" w:w="6192"/>
            <w:tcBorders>
              <w:top w:val="single" w:sz="6" w:color="CCCCCC"/>
              <w:left w:val="single" w:sz="6" w:color="CCCCCC"/>
              <w:bottom w:val="single" w:sz="6" w:color="CCCCCC"/>
              <w:right w:val="single" w:sz="6" w:color="CCCCCC"/>
            </w:tcBorders>
            <w:vAlign w:val="center"/>
          </w:tcPr>
          <w:p>
            <w:r/>
            <w:r>
              <w:rPr>
                <w:sz w:val="20"/>
              </w:rPr>
              <w:t>Industrial Machinery (SIC 3559)</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Eligible employees</w:t>
            </w:r>
          </w:p>
        </w:tc>
        <w:tc>
          <w:tcPr>
            <w:tcW w:type="dxa" w:w="6192"/>
            <w:tcBorders>
              <w:top w:val="single" w:sz="6" w:color="CCCCCC"/>
              <w:left w:val="single" w:sz="6" w:color="CCCCCC"/>
              <w:bottom w:val="single" w:sz="6" w:color="CCCCCC"/>
              <w:right w:val="single" w:sz="6" w:color="CCCCCC"/>
            </w:tcBorders>
            <w:vAlign w:val="center"/>
          </w:tcPr>
          <w:p>
            <w:r/>
            <w:r>
              <w:rPr>
                <w:sz w:val="20"/>
              </w:rPr>
              <w:t>200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Average employee age</w:t>
            </w:r>
          </w:p>
        </w:tc>
        <w:tc>
          <w:tcPr>
            <w:tcW w:type="dxa" w:w="6192"/>
            <w:tcBorders>
              <w:top w:val="single" w:sz="6" w:color="CCCCCC"/>
              <w:left w:val="single" w:sz="6" w:color="CCCCCC"/>
              <w:bottom w:val="single" w:sz="6" w:color="CCCCCC"/>
              <w:right w:val="single" w:sz="6" w:color="CCCCCC"/>
            </w:tcBorders>
            <w:vAlign w:val="center"/>
          </w:tcPr>
          <w:p>
            <w:r/>
            <w:r>
              <w:rPr>
                <w:sz w:val="20"/>
              </w:rPr>
              <w:t>43.3</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Total dependents enrolled (current)</w:t>
            </w:r>
          </w:p>
        </w:tc>
        <w:tc>
          <w:tcPr>
            <w:tcW w:type="dxa" w:w="6192"/>
            <w:tcBorders>
              <w:top w:val="single" w:sz="6" w:color="CCCCCC"/>
              <w:left w:val="single" w:sz="6" w:color="CCCCCC"/>
              <w:bottom w:val="single" w:sz="6" w:color="CCCCCC"/>
              <w:right w:val="single" w:sz="6" w:color="CCCCCC"/>
            </w:tcBorders>
            <w:vAlign w:val="center"/>
          </w:tcPr>
          <w:p>
            <w:r/>
            <w:r>
              <w:rPr>
                <w:sz w:val="20"/>
              </w:rPr>
              <w:t>253</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Current effective date</w:t>
            </w:r>
          </w:p>
        </w:tc>
        <w:tc>
          <w:tcPr>
            <w:tcW w:type="dxa" w:w="6192"/>
            <w:tcBorders>
              <w:top w:val="single" w:sz="6" w:color="CCCCCC"/>
              <w:left w:val="single" w:sz="6" w:color="CCCCCC"/>
              <w:bottom w:val="single" w:sz="6" w:color="CCCCCC"/>
              <w:right w:val="single" w:sz="6" w:color="CCCCCC"/>
            </w:tcBorders>
            <w:vAlign w:val="center"/>
          </w:tcPr>
          <w:p>
            <w:r/>
            <w:r>
              <w:rPr>
                <w:sz w:val="20"/>
              </w:rPr>
              <w:t>2025-07-01</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Renewal effective date</w:t>
            </w:r>
          </w:p>
        </w:tc>
        <w:tc>
          <w:tcPr>
            <w:tcW w:type="dxa" w:w="6192"/>
            <w:tcBorders>
              <w:top w:val="single" w:sz="6" w:color="CCCCCC"/>
              <w:left w:val="single" w:sz="6" w:color="CCCCCC"/>
              <w:bottom w:val="single" w:sz="6" w:color="CCCCCC"/>
              <w:right w:val="single" w:sz="6" w:color="CCCCCC"/>
            </w:tcBorders>
            <w:vAlign w:val="center"/>
          </w:tcPr>
          <w:p>
            <w:r/>
            <w:r>
              <w:rPr>
                <w:sz w:val="20"/>
              </w:rPr>
              <w:t>2026-07-01</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Broker of record</w:t>
            </w:r>
          </w:p>
        </w:tc>
        <w:tc>
          <w:tcPr>
            <w:tcW w:type="dxa" w:w="6192"/>
            <w:tcBorders>
              <w:top w:val="single" w:sz="6" w:color="CCCCCC"/>
              <w:left w:val="single" w:sz="6" w:color="CCCCCC"/>
              <w:bottom w:val="single" w:sz="6" w:color="CCCCCC"/>
              <w:right w:val="single" w:sz="6" w:color="CCCCCC"/>
            </w:tcBorders>
            <w:vAlign w:val="center"/>
          </w:tcPr>
          <w:p>
            <w:r/>
            <w:r>
              <w:rPr>
                <w:sz w:val="20"/>
              </w:rPr>
              <w:t>BenefitAgent.ai — Sample Firm</w:t>
            </w:r>
          </w:p>
        </w:tc>
      </w:tr>
    </w:tbl>
    <w:p>
      <w:pPr>
        <w:spacing w:before="240" w:after="120"/>
      </w:pPr>
      <w:r>
        <w:rPr>
          <w:b/>
          <w:color w:val="0F2A47"/>
          <w:sz w:val="26"/>
        </w:rPr>
        <w:t>Census summary</w:t>
      </w:r>
    </w:p>
    <w:p>
      <w:r>
        <w:rPr>
          <w:rFonts w:ascii="Calibri" w:hAnsi="Calibri"/>
          <w:b/>
          <w:i w:val="0"/>
          <w:sz w:val="20"/>
        </w:rPr>
        <w:t>Age band distribution:</w:t>
      </w:r>
    </w:p>
    <w:p>
      <w:pPr>
        <w:pStyle w:val="ListBullet"/>
      </w:pPr>
      <w:r>
        <w:rPr>
          <w:sz w:val="22"/>
        </w:rPr>
        <w:t>18–29: 24 employees</w:t>
      </w:r>
    </w:p>
    <w:p>
      <w:pPr>
        <w:pStyle w:val="ListBullet"/>
      </w:pPr>
      <w:r>
        <w:rPr>
          <w:sz w:val="22"/>
        </w:rPr>
        <w:t>30–39: 56 employees</w:t>
      </w:r>
    </w:p>
    <w:p>
      <w:pPr>
        <w:pStyle w:val="ListBullet"/>
      </w:pPr>
      <w:r>
        <w:rPr>
          <w:sz w:val="22"/>
        </w:rPr>
        <w:t>40–49: 59 employees</w:t>
      </w:r>
    </w:p>
    <w:p>
      <w:pPr>
        <w:pStyle w:val="ListBullet"/>
      </w:pPr>
      <w:r>
        <w:rPr>
          <w:sz w:val="22"/>
        </w:rPr>
        <w:t>50–59: 44 employees</w:t>
      </w:r>
    </w:p>
    <w:p>
      <w:pPr>
        <w:pStyle w:val="ListBullet"/>
      </w:pPr>
      <w:r>
        <w:rPr>
          <w:sz w:val="22"/>
        </w:rPr>
        <w:t>60+: 17 employees</w:t>
      </w:r>
    </w:p>
    <w:p>
      <w:r>
        <w:rPr>
          <w:rFonts w:ascii="Calibri" w:hAnsi="Calibri"/>
          <w:b/>
          <w:i w:val="0"/>
          <w:sz w:val="20"/>
        </w:rPr>
        <w:t>Coverage tier elections (current):</w:t>
      </w:r>
    </w:p>
    <w:p>
      <w:pPr>
        <w:pStyle w:val="ListBullet"/>
      </w:pPr>
      <w:r>
        <w:rPr>
          <w:sz w:val="22"/>
        </w:rPr>
        <w:t>Employee only: 81</w:t>
      </w:r>
    </w:p>
    <w:p>
      <w:pPr>
        <w:pStyle w:val="ListBullet"/>
      </w:pPr>
      <w:r>
        <w:rPr>
          <w:sz w:val="22"/>
        </w:rPr>
        <w:t>Employee + spouse: 38</w:t>
      </w:r>
    </w:p>
    <w:p>
      <w:pPr>
        <w:pStyle w:val="ListBullet"/>
      </w:pPr>
      <w:r>
        <w:rPr>
          <w:sz w:val="22"/>
        </w:rPr>
        <w:t>Employee + child(ren): 21</w:t>
      </w:r>
    </w:p>
    <w:p>
      <w:pPr>
        <w:pStyle w:val="ListBullet"/>
      </w:pPr>
      <w:r>
        <w:rPr>
          <w:sz w:val="22"/>
        </w:rPr>
        <w:t>Family: 60</w:t>
      </w:r>
    </w:p>
    <w:p>
      <w:pPr>
        <w:spacing w:before="360" w:after="160"/>
      </w:pPr>
      <w:r>
        <w:rPr>
          <w:b/>
          <w:color w:val="0F2A47"/>
          <w:sz w:val="32"/>
        </w:rPr>
        <w:t>Current plan summary</w:t>
      </w:r>
    </w:p>
    <w:tbl>
      <w:tblPr>
        <w:tblW w:type="auto" w:w="0"/>
        <w:tblLayout w:type="fixed"/>
        <w:tblLook w:firstColumn="1" w:firstRow="1" w:lastColumn="0" w:lastRow="0" w:noHBand="0" w:noVBand="1" w:val="04A0"/>
      </w:tblPr>
      <w:tblGrid>
        <w:gridCol w:w="4680"/>
        <w:gridCol w:w="4680"/>
      </w:tblGrid>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Carrier</w:t>
            </w:r>
          </w:p>
        </w:tc>
        <w:tc>
          <w:tcPr>
            <w:tcW w:type="dxa" w:w="6192"/>
            <w:tcBorders>
              <w:top w:val="single" w:sz="6" w:color="CCCCCC"/>
              <w:left w:val="single" w:sz="6" w:color="CCCCCC"/>
              <w:bottom w:val="single" w:sz="6" w:color="CCCCCC"/>
              <w:right w:val="single" w:sz="6" w:color="CCCCCC"/>
            </w:tcBorders>
            <w:vAlign w:val="center"/>
          </w:tcPr>
          <w:p>
            <w:r/>
            <w:r>
              <w:rPr>
                <w:sz w:val="20"/>
              </w:rPr>
              <w:t>UnitedHealthcare</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Plan name</w:t>
            </w:r>
          </w:p>
        </w:tc>
        <w:tc>
          <w:tcPr>
            <w:tcW w:type="dxa" w:w="6192"/>
            <w:tcBorders>
              <w:top w:val="single" w:sz="6" w:color="CCCCCC"/>
              <w:left w:val="single" w:sz="6" w:color="CCCCCC"/>
              <w:bottom w:val="single" w:sz="6" w:color="CCCCCC"/>
              <w:right w:val="single" w:sz="6" w:color="CCCCCC"/>
            </w:tcBorders>
            <w:vAlign w:val="center"/>
          </w:tcPr>
          <w:p>
            <w:r/>
            <w:r>
              <w:rPr>
                <w:sz w:val="20"/>
              </w:rPr>
              <w:t>Choice Plus PPO</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Network</w:t>
            </w:r>
          </w:p>
        </w:tc>
        <w:tc>
          <w:tcPr>
            <w:tcW w:type="dxa" w:w="6192"/>
            <w:tcBorders>
              <w:top w:val="single" w:sz="6" w:color="CCCCCC"/>
              <w:left w:val="single" w:sz="6" w:color="CCCCCC"/>
              <w:bottom w:val="single" w:sz="6" w:color="CCCCCC"/>
              <w:right w:val="single" w:sz="6" w:color="CCCCCC"/>
            </w:tcBorders>
            <w:vAlign w:val="center"/>
          </w:tcPr>
          <w:p>
            <w:r/>
            <w:r>
              <w:rPr>
                <w:sz w:val="20"/>
              </w:rPr>
              <w:t>Choice Plus</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Plan type</w:t>
            </w:r>
          </w:p>
        </w:tc>
        <w:tc>
          <w:tcPr>
            <w:tcW w:type="dxa" w:w="6192"/>
            <w:tcBorders>
              <w:top w:val="single" w:sz="6" w:color="CCCCCC"/>
              <w:left w:val="single" w:sz="6" w:color="CCCCCC"/>
              <w:bottom w:val="single" w:sz="6" w:color="CCCCCC"/>
              <w:right w:val="single" w:sz="6" w:color="CCCCCC"/>
            </w:tcBorders>
            <w:vAlign w:val="center"/>
          </w:tcPr>
          <w:p>
            <w:r/>
            <w:r>
              <w:rPr>
                <w:sz w:val="20"/>
              </w:rPr>
              <w:t>PPO</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Deductible (individual / family)</w:t>
            </w:r>
          </w:p>
        </w:tc>
        <w:tc>
          <w:tcPr>
            <w:tcW w:type="dxa" w:w="6192"/>
            <w:tcBorders>
              <w:top w:val="single" w:sz="6" w:color="CCCCCC"/>
              <w:left w:val="single" w:sz="6" w:color="CCCCCC"/>
              <w:bottom w:val="single" w:sz="6" w:color="CCCCCC"/>
              <w:right w:val="single" w:sz="6" w:color="CCCCCC"/>
            </w:tcBorders>
            <w:vAlign w:val="center"/>
          </w:tcPr>
          <w:p>
            <w:r/>
            <w:r>
              <w:rPr>
                <w:sz w:val="20"/>
              </w:rPr>
              <w:t>$2,000 / $4,000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Out-of-pocket max (individual / family)</w:t>
            </w:r>
          </w:p>
        </w:tc>
        <w:tc>
          <w:tcPr>
            <w:tcW w:type="dxa" w:w="6192"/>
            <w:tcBorders>
              <w:top w:val="single" w:sz="6" w:color="CCCCCC"/>
              <w:left w:val="single" w:sz="6" w:color="CCCCCC"/>
              <w:bottom w:val="single" w:sz="6" w:color="CCCCCC"/>
              <w:right w:val="single" w:sz="6" w:color="CCCCCC"/>
            </w:tcBorders>
            <w:vAlign w:val="center"/>
          </w:tcPr>
          <w:p>
            <w:r/>
            <w:r>
              <w:rPr>
                <w:sz w:val="20"/>
              </w:rPr>
              <w:t>$4,000 / $8,000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Coinsurance (member share)</w:t>
            </w:r>
          </w:p>
        </w:tc>
        <w:tc>
          <w:tcPr>
            <w:tcW w:type="dxa" w:w="6192"/>
            <w:tcBorders>
              <w:top w:val="single" w:sz="6" w:color="CCCCCC"/>
              <w:left w:val="single" w:sz="6" w:color="CCCCCC"/>
              <w:bottom w:val="single" w:sz="6" w:color="CCCCCC"/>
              <w:right w:val="single" w:sz="6" w:color="CCCCCC"/>
            </w:tcBorders>
            <w:vAlign w:val="center"/>
          </w:tcPr>
          <w:p>
            <w:r/>
            <w:r>
              <w:rPr>
                <w:sz w:val="20"/>
              </w:rPr>
              <w:t>20%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PCP / Specialist / ER copay</w:t>
            </w:r>
          </w:p>
        </w:tc>
        <w:tc>
          <w:tcPr>
            <w:tcW w:type="dxa" w:w="6192"/>
            <w:tcBorders>
              <w:top w:val="single" w:sz="6" w:color="CCCCCC"/>
              <w:left w:val="single" w:sz="6" w:color="CCCCCC"/>
              <w:bottom w:val="single" w:sz="6" w:color="CCCCCC"/>
              <w:right w:val="single" w:sz="6" w:color="CCCCCC"/>
            </w:tcBorders>
            <w:vAlign w:val="center"/>
          </w:tcPr>
          <w:p>
            <w:r/>
            <w:r>
              <w:rPr>
                <w:sz w:val="20"/>
              </w:rPr>
              <w:t>$25 / $45 / $300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Rx Tier 1 / 2 / 3</w:t>
            </w:r>
          </w:p>
        </w:tc>
        <w:tc>
          <w:tcPr>
            <w:tcW w:type="dxa" w:w="6192"/>
            <w:tcBorders>
              <w:top w:val="single" w:sz="6" w:color="CCCCCC"/>
              <w:left w:val="single" w:sz="6" w:color="CCCCCC"/>
              <w:bottom w:val="single" w:sz="6" w:color="CCCCCC"/>
              <w:right w:val="single" w:sz="6" w:color="CCCCCC"/>
            </w:tcBorders>
            <w:vAlign w:val="center"/>
          </w:tcPr>
          <w:p>
            <w:r/>
            <w:r>
              <w:rPr>
                <w:sz w:val="20"/>
              </w:rPr>
              <w:t>$10 / $35 / $70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Current premium (EE / ES / EC / FAM)</w:t>
            </w:r>
          </w:p>
        </w:tc>
        <w:tc>
          <w:tcPr>
            <w:tcW w:type="dxa" w:w="6192"/>
            <w:tcBorders>
              <w:top w:val="single" w:sz="6" w:color="CCCCCC"/>
              <w:left w:val="single" w:sz="6" w:color="CCCCCC"/>
              <w:bottom w:val="single" w:sz="6" w:color="CCCCCC"/>
              <w:right w:val="single" w:sz="6" w:color="CCCCCC"/>
            </w:tcBorders>
            <w:vAlign w:val="center"/>
          </w:tcPr>
          <w:p>
            <w:r/>
            <w:r>
              <w:rPr>
                <w:sz w:val="20"/>
              </w:rPr>
              <w:t>$612.40 / $1,346.30 / $1,224.80 / $1,898.45</w:t>
            </w:r>
          </w:p>
        </w:tc>
      </w:tr>
    </w:tbl>
    <w:p>
      <w:pPr>
        <w:spacing w:before="240" w:after="120"/>
      </w:pPr>
      <w:r>
        <w:rPr>
          <w:b/>
          <w:color w:val="0F2A47"/>
          <w:sz w:val="26"/>
        </w:rPr>
        <w:t>Renewal terms — being marketed</w:t>
      </w:r>
    </w:p>
    <w:tbl>
      <w:tblPr>
        <w:tblW w:type="auto" w:w="0"/>
        <w:tblLayout w:type="fixed"/>
        <w:tblLook w:firstColumn="1" w:firstRow="1" w:lastColumn="0" w:lastRow="0" w:noHBand="0" w:noVBand="1" w:val="04A0"/>
      </w:tblPr>
      <w:tblGrid>
        <w:gridCol w:w="4680"/>
        <w:gridCol w:w="4680"/>
      </w:tblGrid>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Composite rate increase</w:t>
            </w:r>
          </w:p>
        </w:tc>
        <w:tc>
          <w:tcPr>
            <w:tcW w:type="dxa" w:w="6192"/>
            <w:tcBorders>
              <w:top w:val="single" w:sz="6" w:color="CCCCCC"/>
              <w:left w:val="single" w:sz="6" w:color="CCCCCC"/>
              <w:bottom w:val="single" w:sz="6" w:color="CCCCCC"/>
              <w:right w:val="single" w:sz="6" w:color="CCCCCC"/>
            </w:tcBorders>
            <w:vAlign w:val="center"/>
          </w:tcPr>
          <w:p>
            <w:r/>
            <w:r>
              <w:rPr>
                <w:sz w:val="20"/>
              </w:rPr>
              <w:t>+14.0% across all coverage tiers</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Renewal deductible (individual / family)</w:t>
            </w:r>
          </w:p>
        </w:tc>
        <w:tc>
          <w:tcPr>
            <w:tcW w:type="dxa" w:w="6192"/>
            <w:tcBorders>
              <w:top w:val="single" w:sz="6" w:color="CCCCCC"/>
              <w:left w:val="single" w:sz="6" w:color="CCCCCC"/>
              <w:bottom w:val="single" w:sz="6" w:color="CCCCCC"/>
              <w:right w:val="single" w:sz="6" w:color="CCCCCC"/>
            </w:tcBorders>
            <w:vAlign w:val="center"/>
          </w:tcPr>
          <w:p>
            <w:r/>
            <w:r>
              <w:rPr>
                <w:sz w:val="20"/>
              </w:rPr>
              <w:t>$2,500 / $5,000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Renewal out-of-pocket max (individual / family)</w:t>
            </w:r>
          </w:p>
        </w:tc>
        <w:tc>
          <w:tcPr>
            <w:tcW w:type="dxa" w:w="6192"/>
            <w:tcBorders>
              <w:top w:val="single" w:sz="6" w:color="CCCCCC"/>
              <w:left w:val="single" w:sz="6" w:color="CCCCCC"/>
              <w:bottom w:val="single" w:sz="6" w:color="CCCCCC"/>
              <w:right w:val="single" w:sz="6" w:color="CCCCCC"/>
            </w:tcBorders>
            <w:vAlign w:val="center"/>
          </w:tcPr>
          <w:p>
            <w:r/>
            <w:r>
              <w:rPr>
                <w:sz w:val="20"/>
              </w:rPr>
              <w:t>$5,000 / $10,000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Renewal premium (EE / ES / EC / FAM)</w:t>
            </w:r>
          </w:p>
        </w:tc>
        <w:tc>
          <w:tcPr>
            <w:tcW w:type="dxa" w:w="6192"/>
            <w:tcBorders>
              <w:top w:val="single" w:sz="6" w:color="CCCCCC"/>
              <w:left w:val="single" w:sz="6" w:color="CCCCCC"/>
              <w:bottom w:val="single" w:sz="6" w:color="CCCCCC"/>
              <w:right w:val="single" w:sz="6" w:color="CCCCCC"/>
            </w:tcBorders>
            <w:vAlign w:val="center"/>
          </w:tcPr>
          <w:p>
            <w:r/>
            <w:r>
              <w:rPr>
                <w:sz w:val="20"/>
              </w:rPr>
              <w:t>$698.14 / $1,534.79 / $1,396.27 / $2,164.23</w:t>
            </w:r>
          </w:p>
        </w:tc>
      </w:tr>
    </w:tbl>
    <w:p>
      <w:pPr>
        <w:spacing w:before="360" w:after="160"/>
      </w:pPr>
      <w:r>
        <w:rPr>
          <w:b/>
          <w:color w:val="0F2A47"/>
          <w:sz w:val="32"/>
        </w:rPr>
        <w:t>Claims experience (trailing 12 months)</w:t>
      </w:r>
    </w:p>
    <w:tbl>
      <w:tblPr>
        <w:tblW w:type="auto" w:w="0"/>
        <w:tblLayout w:type="fixed"/>
        <w:tblLook w:firstColumn="1" w:firstRow="1" w:lastColumn="0" w:lastRow="0" w:noHBand="0" w:noVBand="1" w:val="04A0"/>
      </w:tblPr>
      <w:tblGrid>
        <w:gridCol w:w="4680"/>
        <w:gridCol w:w="4680"/>
      </w:tblGrid>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Reporting period</w:t>
            </w:r>
          </w:p>
        </w:tc>
        <w:tc>
          <w:tcPr>
            <w:tcW w:type="dxa" w:w="6192"/>
            <w:tcBorders>
              <w:top w:val="single" w:sz="6" w:color="CCCCCC"/>
              <w:left w:val="single" w:sz="6" w:color="CCCCCC"/>
              <w:bottom w:val="single" w:sz="6" w:color="CCCCCC"/>
              <w:right w:val="single" w:sz="6" w:color="CCCCCC"/>
            </w:tcBorders>
            <w:vAlign w:val="center"/>
          </w:tcPr>
          <w:p>
            <w:r/>
            <w:r>
              <w:rPr>
                <w:sz w:val="20"/>
              </w:rPr>
              <w:t>2025-05-01 to 2026-04-30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Member months</w:t>
            </w:r>
          </w:p>
        </w:tc>
        <w:tc>
          <w:tcPr>
            <w:tcW w:type="dxa" w:w="6192"/>
            <w:tcBorders>
              <w:top w:val="single" w:sz="6" w:color="CCCCCC"/>
              <w:left w:val="single" w:sz="6" w:color="CCCCCC"/>
              <w:bottom w:val="single" w:sz="6" w:color="CCCCCC"/>
              <w:right w:val="single" w:sz="6" w:color="CCCCCC"/>
            </w:tcBorders>
            <w:vAlign w:val="center"/>
          </w:tcPr>
          <w:p>
            <w:r/>
            <w:r>
              <w:rPr>
                <w:sz w:val="20"/>
              </w:rPr>
              <w:t>6,240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Total paid claims (medical + Rx)</w:t>
            </w:r>
          </w:p>
        </w:tc>
        <w:tc>
          <w:tcPr>
            <w:tcW w:type="dxa" w:w="6192"/>
            <w:tcBorders>
              <w:top w:val="single" w:sz="6" w:color="CCCCCC"/>
              <w:left w:val="single" w:sz="6" w:color="CCCCCC"/>
              <w:bottom w:val="single" w:sz="6" w:color="CCCCCC"/>
              <w:right w:val="single" w:sz="6" w:color="CCCCCC"/>
            </w:tcBorders>
            <w:vAlign w:val="center"/>
          </w:tcPr>
          <w:p>
            <w:r/>
            <w:r>
              <w:rPr>
                <w:sz w:val="20"/>
              </w:rPr>
              <w:t>$2,606,100.00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Medical paid</w:t>
            </w:r>
          </w:p>
        </w:tc>
        <w:tc>
          <w:tcPr>
            <w:tcW w:type="dxa" w:w="6192"/>
            <w:tcBorders>
              <w:top w:val="single" w:sz="6" w:color="CCCCCC"/>
              <w:left w:val="single" w:sz="6" w:color="CCCCCC"/>
              <w:bottom w:val="single" w:sz="6" w:color="CCCCCC"/>
              <w:right w:val="single" w:sz="6" w:color="CCCCCC"/>
            </w:tcBorders>
            <w:vAlign w:val="center"/>
          </w:tcPr>
          <w:p>
            <w:r/>
            <w:r>
              <w:rPr>
                <w:sz w:val="20"/>
              </w:rPr>
              <w:t>$2,184,320.00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Rx paid</w:t>
            </w:r>
          </w:p>
        </w:tc>
        <w:tc>
          <w:tcPr>
            <w:tcW w:type="dxa" w:w="6192"/>
            <w:tcBorders>
              <w:top w:val="single" w:sz="6" w:color="CCCCCC"/>
              <w:left w:val="single" w:sz="6" w:color="CCCCCC"/>
              <w:bottom w:val="single" w:sz="6" w:color="CCCCCC"/>
              <w:right w:val="single" w:sz="6" w:color="CCCCCC"/>
            </w:tcBorders>
            <w:vAlign w:val="center"/>
          </w:tcPr>
          <w:p>
            <w:r/>
            <w:r>
              <w:rPr>
                <w:sz w:val="20"/>
              </w:rPr>
              <w:t>$421,780.00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PMPM</w:t>
            </w:r>
          </w:p>
        </w:tc>
        <w:tc>
          <w:tcPr>
            <w:tcW w:type="dxa" w:w="6192"/>
            <w:tcBorders>
              <w:top w:val="single" w:sz="6" w:color="CCCCCC"/>
              <w:left w:val="single" w:sz="6" w:color="CCCCCC"/>
              <w:bottom w:val="single" w:sz="6" w:color="CCCCCC"/>
              <w:right w:val="single" w:sz="6" w:color="CCCCCC"/>
            </w:tcBorders>
            <w:vAlign w:val="center"/>
          </w:tcPr>
          <w:p>
            <w:r/>
            <w:r>
              <w:rPr>
                <w:sz w:val="20"/>
              </w:rPr>
              <w:t>$417.64</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Loss ratio (paid / earned premium)</w:t>
            </w:r>
          </w:p>
        </w:tc>
        <w:tc>
          <w:tcPr>
            <w:tcW w:type="dxa" w:w="6192"/>
            <w:tcBorders>
              <w:top w:val="single" w:sz="6" w:color="CCCCCC"/>
              <w:left w:val="single" w:sz="6" w:color="CCCCCC"/>
              <w:bottom w:val="single" w:sz="6" w:color="CCCCCC"/>
              <w:right w:val="single" w:sz="6" w:color="CCCCCC"/>
            </w:tcBorders>
            <w:vAlign w:val="center"/>
          </w:tcPr>
          <w:p>
            <w:r/>
            <w:r>
              <w:rPr>
                <w:sz w:val="20"/>
              </w:rPr>
              <w:t>87.0%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Large claims (&gt;$50,000) — count</w:t>
            </w:r>
          </w:p>
        </w:tc>
        <w:tc>
          <w:tcPr>
            <w:tcW w:type="dxa" w:w="6192"/>
            <w:tcBorders>
              <w:top w:val="single" w:sz="6" w:color="CCCCCC"/>
              <w:left w:val="single" w:sz="6" w:color="CCCCCC"/>
              <w:bottom w:val="single" w:sz="6" w:color="CCCCCC"/>
              <w:right w:val="single" w:sz="6" w:color="CCCCCC"/>
            </w:tcBorders>
            <w:vAlign w:val="center"/>
          </w:tcPr>
          <w:p>
            <w:r/>
            <w:r>
              <w:rPr>
                <w:sz w:val="20"/>
              </w:rPr>
              <w:t>4</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Large claims — total paid</w:t>
            </w:r>
          </w:p>
        </w:tc>
        <w:tc>
          <w:tcPr>
            <w:tcW w:type="dxa" w:w="6192"/>
            <w:tcBorders>
              <w:top w:val="single" w:sz="6" w:color="CCCCCC"/>
              <w:left w:val="single" w:sz="6" w:color="CCCCCC"/>
              <w:bottom w:val="single" w:sz="6" w:color="CCCCCC"/>
              <w:right w:val="single" w:sz="6" w:color="CCCCCC"/>
            </w:tcBorders>
            <w:vAlign w:val="center"/>
          </w:tcPr>
          <w:p>
            <w:r/>
            <w:r>
              <w:rPr>
                <w:sz w:val="20"/>
              </w:rPr>
              <w:t>$385,140.00</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Catastrophic claim — single claimant max</w:t>
            </w:r>
          </w:p>
        </w:tc>
        <w:tc>
          <w:tcPr>
            <w:tcW w:type="dxa" w:w="6192"/>
            <w:tcBorders>
              <w:top w:val="single" w:sz="6" w:color="CCCCCC"/>
              <w:left w:val="single" w:sz="6" w:color="CCCCCC"/>
              <w:bottom w:val="single" w:sz="6" w:color="CCCCCC"/>
              <w:right w:val="single" w:sz="6" w:color="CCCCCC"/>
            </w:tcBorders>
            <w:vAlign w:val="center"/>
          </w:tcPr>
          <w:p>
            <w:r/>
            <w:r>
              <w:rPr>
                <w:sz w:val="20"/>
              </w:rPr>
              <w:t>$142,500.00</w:t>
            </w:r>
          </w:p>
        </w:tc>
      </w:tr>
    </w:tbl>
    <w:p>
      <w:r>
        <w:rPr>
          <w:rFonts w:ascii="Calibri" w:hAnsi="Calibri"/>
          <w:b/>
          <w:i w:val="0"/>
          <w:sz w:val="20"/>
        </w:rPr>
        <w:t>Large-claim categories (de-identified):</w:t>
      </w:r>
    </w:p>
    <w:p>
      <w:pPr>
        <w:pStyle w:val="ListBullet"/>
      </w:pPr>
      <w:r>
        <w:rPr>
          <w:sz w:val="22"/>
        </w:rPr>
        <w:t>Oncology — breast — age band 55–64, sex F, paid $142,500.00</w:t>
      </w:r>
    </w:p>
    <w:p>
      <w:pPr>
        <w:pStyle w:val="ListBullet"/>
      </w:pPr>
      <w:r>
        <w:rPr>
          <w:sz w:val="22"/>
        </w:rPr>
        <w:t>Cardiovascular — CABG — age band 45–54, sex M, paid $96,240.00</w:t>
      </w:r>
    </w:p>
    <w:p>
      <w:pPr>
        <w:pStyle w:val="ListBullet"/>
      </w:pPr>
      <w:r>
        <w:rPr>
          <w:sz w:val="22"/>
        </w:rPr>
        <w:t>Maternity — NICU — age band 35–44, sex F, paid $78,900.00</w:t>
      </w:r>
    </w:p>
    <w:p>
      <w:pPr>
        <w:pStyle w:val="ListBullet"/>
      </w:pPr>
      <w:r>
        <w:rPr>
          <w:sz w:val="22"/>
        </w:rPr>
        <w:t>Orthopedic — ACL reconstruction + complications — age band 25–34, sex M, paid $67,500.00</w:t>
      </w:r>
    </w:p>
    <w:p>
      <w:pPr>
        <w:spacing w:before="360" w:after="160"/>
      </w:pPr>
      <w:r>
        <w:rPr>
          <w:b/>
          <w:color w:val="0F2A47"/>
          <w:sz w:val="32"/>
        </w:rPr>
        <w:t>RFP — please respond to each item</w:t>
      </w:r>
    </w:p>
    <w:p>
      <w:pPr>
        <w:pStyle w:val="ListNumber"/>
      </w:pPr>
      <w:r>
        <w:rPr>
          <w:sz w:val="22"/>
        </w:rPr>
        <w:t>Provide rate quotes for a comparable plan design at all four coverage tiers (employee only, employee + spouse, employee + child(ren), family).</w:t>
      </w:r>
    </w:p>
    <w:p>
      <w:pPr>
        <w:pStyle w:val="ListNumber"/>
      </w:pPr>
      <w:r>
        <w:rPr>
          <w:sz w:val="22"/>
        </w:rPr>
        <w:t>Identify any plan design alternatives (richer or leaner) you would recommend for this group based on the census and claims summary.</w:t>
      </w:r>
    </w:p>
    <w:p>
      <w:pPr>
        <w:pStyle w:val="ListNumber"/>
      </w:pPr>
      <w:r>
        <w:rPr>
          <w:sz w:val="22"/>
        </w:rPr>
        <w:t>Confirm network adequacy in the Naperville and broader DuPage County, Illinois market — list in-network hospital systems and approximate in-network provider counts.</w:t>
      </w:r>
    </w:p>
    <w:p>
      <w:pPr>
        <w:pStyle w:val="ListNumber"/>
      </w:pPr>
      <w:r>
        <w:rPr>
          <w:sz w:val="22"/>
        </w:rPr>
        <w:t>Identify any underwriting requirements (additional documentation, medical questionnaires, prior-claims data) needed to convert the indicative quote into a binding proposal.</w:t>
      </w:r>
    </w:p>
    <w:p>
      <w:pPr>
        <w:pStyle w:val="ListNumber"/>
      </w:pPr>
      <w:r>
        <w:rPr>
          <w:sz w:val="22"/>
        </w:rPr>
        <w:t>Provide stop-loss attachment-point options if a level-funded or self-funded structure is available for a group of this size.</w:t>
      </w:r>
    </w:p>
    <w:p>
      <w:pPr>
        <w:pStyle w:val="ListNumber"/>
      </w:pPr>
      <w:r>
        <w:rPr>
          <w:sz w:val="22"/>
        </w:rPr>
        <w:t>Confirm rate guarantees (12 months, 24 months, etc.) and any rate-cap provisions.</w:t>
      </w:r>
    </w:p>
    <w:p>
      <w:pPr>
        <w:pStyle w:val="ListNumber"/>
      </w:pPr>
      <w:r>
        <w:rPr>
          <w:sz w:val="22"/>
        </w:rPr>
        <w:t>Describe the integrated pharmacy benefit manager arrangement and any specialty-Rx (including GLP-1) management programs.</w:t>
      </w:r>
    </w:p>
    <w:p>
      <w:pPr>
        <w:pStyle w:val="ListNumber"/>
      </w:pPr>
      <w:r>
        <w:rPr>
          <w:sz w:val="22"/>
        </w:rPr>
        <w:t>Identify member-engagement / navigation services included with the plan and any optional add-ons.</w:t>
      </w:r>
    </w:p>
    <w:p>
      <w:pPr>
        <w:pStyle w:val="ListNumber"/>
      </w:pPr>
      <w:r>
        <w:rPr>
          <w:sz w:val="22"/>
        </w:rPr>
        <w:t>Provide implementation timeline assuming a July 1, 2026 effective date.</w:t>
      </w:r>
    </w:p>
    <w:p>
      <w:pPr>
        <w:pStyle w:val="ListNumber"/>
      </w:pPr>
      <w:r>
        <w:rPr>
          <w:sz w:val="22"/>
        </w:rPr>
        <w:t>List the carrier-specific renewal-letter format and any required carrier portal access for ongoing servicing.</w:t>
      </w:r>
    </w:p>
    <w:p>
      <w:pPr>
        <w:spacing w:before="360" w:after="160"/>
      </w:pPr>
      <w:r>
        <w:rPr>
          <w:b/>
          <w:color w:val="0F2A47"/>
          <w:sz w:val="32"/>
        </w:rPr>
        <w:t>Submission requirements</w:t>
      </w:r>
    </w:p>
    <w:tbl>
      <w:tblPr>
        <w:tblW w:type="auto" w:w="0"/>
        <w:tblLayout w:type="fixed"/>
        <w:tblLook w:firstColumn="1" w:firstRow="1" w:lastColumn="0" w:lastRow="0" w:noHBand="0" w:noVBand="1" w:val="04A0"/>
      </w:tblPr>
      <w:tblGrid>
        <w:gridCol w:w="4680"/>
        <w:gridCol w:w="4680"/>
      </w:tblGrid>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Quote due date</w:t>
            </w:r>
          </w:p>
        </w:tc>
        <w:tc>
          <w:tcPr>
            <w:tcW w:type="dxa" w:w="6192"/>
            <w:tcBorders>
              <w:top w:val="single" w:sz="6" w:color="CCCCCC"/>
              <w:left w:val="single" w:sz="6" w:color="CCCCCC"/>
              <w:bottom w:val="single" w:sz="6" w:color="CCCCCC"/>
              <w:right w:val="single" w:sz="6" w:color="CCCCCC"/>
            </w:tcBorders>
            <w:vAlign w:val="center"/>
          </w:tcPr>
          <w:p>
            <w:r/>
            <w:r>
              <w:rPr>
                <w:sz w:val="20"/>
              </w:rPr>
              <w:t>Friday, May 30, 2026 by 5:00 PM CT</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Submission method</w:t>
            </w:r>
          </w:p>
        </w:tc>
        <w:tc>
          <w:tcPr>
            <w:tcW w:type="dxa" w:w="6192"/>
            <w:tcBorders>
              <w:top w:val="single" w:sz="6" w:color="CCCCCC"/>
              <w:left w:val="single" w:sz="6" w:color="CCCCCC"/>
              <w:bottom w:val="single" w:sz="6" w:color="CCCCCC"/>
              <w:right w:val="single" w:sz="6" w:color="CCCCCC"/>
            </w:tcBorders>
            <w:vAlign w:val="center"/>
          </w:tcPr>
          <w:p>
            <w:r/>
            <w:r>
              <w:rPr>
                <w:sz w:val="20"/>
              </w:rPr>
              <w:t>Email PDF to demo@benefitagent.ai</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Required attachments</w:t>
            </w:r>
          </w:p>
        </w:tc>
        <w:tc>
          <w:tcPr>
            <w:tcW w:type="dxa" w:w="6192"/>
            <w:tcBorders>
              <w:top w:val="single" w:sz="6" w:color="CCCCCC"/>
              <w:left w:val="single" w:sz="6" w:color="CCCCCC"/>
              <w:bottom w:val="single" w:sz="6" w:color="CCCCCC"/>
              <w:right w:val="single" w:sz="6" w:color="CCCCCC"/>
            </w:tcBorders>
            <w:vAlign w:val="center"/>
          </w:tcPr>
          <w:p>
            <w:r/>
            <w:r>
              <w:rPr>
                <w:sz w:val="20"/>
              </w:rPr>
              <w:t>Rate sheet, plan design summary, network adequacy summary, underwriting requirements list</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Decision date</w:t>
            </w:r>
          </w:p>
        </w:tc>
        <w:tc>
          <w:tcPr>
            <w:tcW w:type="dxa" w:w="6192"/>
            <w:tcBorders>
              <w:top w:val="single" w:sz="6" w:color="CCCCCC"/>
              <w:left w:val="single" w:sz="6" w:color="CCCCCC"/>
              <w:bottom w:val="single" w:sz="6" w:color="CCCCCC"/>
              <w:right w:val="single" w:sz="6" w:color="CCCCCC"/>
            </w:tcBorders>
            <w:vAlign w:val="center"/>
          </w:tcPr>
          <w:p>
            <w:r/>
            <w:r>
              <w:rPr>
                <w:sz w:val="20"/>
              </w:rPr>
              <w:t>Wednesday, June 11, 2026</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Implementation start</w:t>
            </w:r>
          </w:p>
        </w:tc>
        <w:tc>
          <w:tcPr>
            <w:tcW w:type="dxa" w:w="6192"/>
            <w:tcBorders>
              <w:top w:val="single" w:sz="6" w:color="CCCCCC"/>
              <w:left w:val="single" w:sz="6" w:color="CCCCCC"/>
              <w:bottom w:val="single" w:sz="6" w:color="CCCCCC"/>
              <w:right w:val="single" w:sz="6" w:color="CCCCCC"/>
            </w:tcBorders>
            <w:vAlign w:val="center"/>
          </w:tcPr>
          <w:p>
            <w:r/>
            <w:r>
              <w:rPr>
                <w:sz w:val="20"/>
              </w:rPr>
              <w:t>Monday, June 16, 2026</w:t>
            </w:r>
          </w:p>
        </w:tc>
      </w:tr>
      <w:tr>
        <w:tc>
          <w:tcPr>
            <w:tcW w:type="dxa" w:w="3168"/>
            <w:shd w:val="clear" w:color="auto" w:fill="F4EFE5"/>
            <w:tcBorders>
              <w:top w:val="single" w:sz="6" w:color="CCCCCC"/>
              <w:left w:val="single" w:sz="6" w:color="CCCCCC"/>
              <w:bottom w:val="single" w:sz="6" w:color="CCCCCC"/>
              <w:right w:val="single" w:sz="6" w:color="CCCCCC"/>
            </w:tcBorders>
            <w:vAlign w:val="center"/>
          </w:tcPr>
          <w:p>
            <w:r/>
            <w:r>
              <w:rPr>
                <w:b/>
                <w:sz w:val="20"/>
              </w:rPr>
              <w:t>Effective date</w:t>
            </w:r>
          </w:p>
        </w:tc>
        <w:tc>
          <w:tcPr>
            <w:tcW w:type="dxa" w:w="6192"/>
            <w:tcBorders>
              <w:top w:val="single" w:sz="6" w:color="CCCCCC"/>
              <w:left w:val="single" w:sz="6" w:color="CCCCCC"/>
              <w:bottom w:val="single" w:sz="6" w:color="CCCCCC"/>
              <w:right w:val="single" w:sz="6" w:color="CCCCCC"/>
            </w:tcBorders>
            <w:vAlign w:val="center"/>
          </w:tcPr>
          <w:p>
            <w:r/>
            <w:r>
              <w:rPr>
                <w:sz w:val="20"/>
              </w:rPr>
              <w:t>Wednesday, July 1, 2026</w:t>
            </w:r>
          </w:p>
        </w:tc>
      </w:tr>
    </w:tbl>
    <w:p>
      <w:pPr>
        <w:spacing w:before="360" w:after="160"/>
      </w:pPr>
      <w:r>
        <w:rPr>
          <w:b/>
          <w:color w:val="0F2A47"/>
          <w:sz w:val="32"/>
        </w:rPr>
        <w:t>Submission checklist — for carrier use</w:t>
      </w:r>
    </w:p>
    <w:p>
      <w:r>
        <w:rPr>
          <w:rFonts w:ascii="Calibri" w:hAnsi="Calibri"/>
          <w:b w:val="0"/>
          <w:i/>
          <w:color w:val="555555"/>
          <w:sz w:val="20"/>
        </w:rPr>
        <w:t>Before returning your proposal, confirm each item below is included in your submission package.</w:t>
      </w:r>
    </w:p>
    <w:p>
      <w:pPr>
        <w:spacing w:after="80"/>
        <w:ind w:left="360"/>
      </w:pPr>
      <w:r>
        <w:rPr>
          <w:rFonts w:ascii="Consolas" w:hAnsi="Consolas"/>
          <w:color w:val="0F2A47"/>
          <w:sz w:val="22"/>
        </w:rPr>
        <w:t xml:space="preserve">[  ]   </w:t>
      </w:r>
      <w:r>
        <w:rPr>
          <w:sz w:val="22"/>
        </w:rPr>
        <w:t>Bound rate sheet covering all four coverage tiers</w:t>
      </w:r>
    </w:p>
    <w:p>
      <w:pPr>
        <w:spacing w:after="80"/>
        <w:ind w:left="360"/>
      </w:pPr>
      <w:r>
        <w:rPr>
          <w:rFonts w:ascii="Consolas" w:hAnsi="Consolas"/>
          <w:color w:val="0F2A47"/>
          <w:sz w:val="22"/>
        </w:rPr>
        <w:t xml:space="preserve">[  ]   </w:t>
      </w:r>
      <w:r>
        <w:rPr>
          <w:sz w:val="22"/>
        </w:rPr>
        <w:t>Plan design summary document for all proposed plan options</w:t>
      </w:r>
    </w:p>
    <w:p>
      <w:pPr>
        <w:spacing w:after="80"/>
        <w:ind w:left="360"/>
      </w:pPr>
      <w:r>
        <w:rPr>
          <w:rFonts w:ascii="Consolas" w:hAnsi="Consolas"/>
          <w:color w:val="0F2A47"/>
          <w:sz w:val="22"/>
        </w:rPr>
        <w:t xml:space="preserve">[  ]   </w:t>
      </w:r>
      <w:r>
        <w:rPr>
          <w:sz w:val="22"/>
        </w:rPr>
        <w:t>Network adequacy summary for DuPage County, IL (hospital systems + provider counts)</w:t>
      </w:r>
    </w:p>
    <w:p>
      <w:pPr>
        <w:spacing w:after="80"/>
        <w:ind w:left="360"/>
      </w:pPr>
      <w:r>
        <w:rPr>
          <w:rFonts w:ascii="Consolas" w:hAnsi="Consolas"/>
          <w:color w:val="0F2A47"/>
          <w:sz w:val="22"/>
        </w:rPr>
        <w:t xml:space="preserve">[  ]   </w:t>
      </w:r>
      <w:r>
        <w:rPr>
          <w:sz w:val="22"/>
        </w:rPr>
        <w:t>Underwriting requirements list (any additional documentation needed)</w:t>
      </w:r>
    </w:p>
    <w:p>
      <w:pPr>
        <w:spacing w:after="80"/>
        <w:ind w:left="360"/>
      </w:pPr>
      <w:r>
        <w:rPr>
          <w:rFonts w:ascii="Consolas" w:hAnsi="Consolas"/>
          <w:color w:val="0F2A47"/>
          <w:sz w:val="22"/>
        </w:rPr>
        <w:t xml:space="preserve">[  ]   </w:t>
      </w:r>
      <w:r>
        <w:rPr>
          <w:sz w:val="22"/>
        </w:rPr>
        <w:t>Stop-loss attachment-point options (if level/self-funded structure offered)</w:t>
      </w:r>
    </w:p>
    <w:p>
      <w:pPr>
        <w:spacing w:after="80"/>
        <w:ind w:left="360"/>
      </w:pPr>
      <w:r>
        <w:rPr>
          <w:rFonts w:ascii="Consolas" w:hAnsi="Consolas"/>
          <w:color w:val="0F2A47"/>
          <w:sz w:val="22"/>
        </w:rPr>
        <w:t xml:space="preserve">[  ]   </w:t>
      </w:r>
      <w:r>
        <w:rPr>
          <w:sz w:val="22"/>
        </w:rPr>
        <w:t>Rate guarantee terms and rate-cap provisions</w:t>
      </w:r>
    </w:p>
    <w:p>
      <w:pPr>
        <w:spacing w:after="80"/>
        <w:ind w:left="360"/>
      </w:pPr>
      <w:r>
        <w:rPr>
          <w:rFonts w:ascii="Consolas" w:hAnsi="Consolas"/>
          <w:color w:val="0F2A47"/>
          <w:sz w:val="22"/>
        </w:rPr>
        <w:t xml:space="preserve">[  ]   </w:t>
      </w:r>
      <w:r>
        <w:rPr>
          <w:sz w:val="22"/>
        </w:rPr>
        <w:t>Pharmacy benefit manager arrangement and specialty-Rx programs</w:t>
      </w:r>
    </w:p>
    <w:p>
      <w:pPr>
        <w:spacing w:after="80"/>
        <w:ind w:left="360"/>
      </w:pPr>
      <w:r>
        <w:rPr>
          <w:rFonts w:ascii="Consolas" w:hAnsi="Consolas"/>
          <w:color w:val="0F2A47"/>
          <w:sz w:val="22"/>
        </w:rPr>
        <w:t xml:space="preserve">[  ]   </w:t>
      </w:r>
      <w:r>
        <w:rPr>
          <w:sz w:val="22"/>
        </w:rPr>
        <w:t>Implementation timeline for July 1, 2026 effective date</w:t>
      </w:r>
    </w:p>
    <w:p>
      <w:pPr>
        <w:spacing w:after="80"/>
        <w:ind w:left="360"/>
      </w:pPr>
      <w:r>
        <w:rPr>
          <w:rFonts w:ascii="Consolas" w:hAnsi="Consolas"/>
          <w:color w:val="0F2A47"/>
          <w:sz w:val="22"/>
        </w:rPr>
        <w:t xml:space="preserve">[  ]   </w:t>
      </w:r>
      <w:r>
        <w:rPr>
          <w:sz w:val="22"/>
        </w:rPr>
        <w:t>Member engagement / navigation services description</w:t>
      </w:r>
    </w:p>
    <w:p>
      <w:pPr>
        <w:spacing w:after="80"/>
        <w:ind w:left="360"/>
      </w:pPr>
      <w:r>
        <w:rPr>
          <w:rFonts w:ascii="Consolas" w:hAnsi="Consolas"/>
          <w:color w:val="0F2A47"/>
          <w:sz w:val="22"/>
        </w:rPr>
        <w:t xml:space="preserve">[  ]   </w:t>
      </w:r>
      <w:r>
        <w:rPr>
          <w:sz w:val="22"/>
        </w:rPr>
        <w:t>Sample renewal letter format and carrier portal access details</w:t>
      </w:r>
    </w:p>
    <w:p>
      <w:pPr>
        <w:spacing w:after="80"/>
        <w:ind w:left="360"/>
      </w:pPr>
      <w:r>
        <w:rPr>
          <w:rFonts w:ascii="Consolas" w:hAnsi="Consolas"/>
          <w:color w:val="0F2A47"/>
          <w:sz w:val="22"/>
        </w:rPr>
        <w:t xml:space="preserve">[  ]   </w:t>
      </w:r>
      <w:r>
        <w:rPr>
          <w:sz w:val="22"/>
        </w:rPr>
        <w:t>Sample EOB and member ID card</w:t>
      </w:r>
    </w:p>
    <w:p>
      <w:pPr>
        <w:spacing w:after="80"/>
        <w:ind w:left="360"/>
      </w:pPr>
      <w:r>
        <w:rPr>
          <w:rFonts w:ascii="Consolas" w:hAnsi="Consolas"/>
          <w:color w:val="0F2A47"/>
          <w:sz w:val="22"/>
        </w:rPr>
        <w:t xml:space="preserve">[  ]   </w:t>
      </w:r>
      <w:r>
        <w:rPr>
          <w:sz w:val="22"/>
        </w:rPr>
        <w:t>Carrier financial strength rating (A.M. Best or comparable)</w:t>
      </w:r>
    </w:p>
    <w:p>
      <w:pPr>
        <w:spacing w:before="360" w:after="160"/>
      </w:pPr>
      <w:r>
        <w:rPr>
          <w:b/>
          <w:color w:val="0F2A47"/>
          <w:sz w:val="32"/>
        </w:rPr>
        <w:t>Contact</w:t>
      </w:r>
    </w:p>
    <w:p>
      <w:r>
        <w:rPr>
          <w:rFonts w:ascii="Calibri" w:hAnsi="Calibri"/>
          <w:b w:val="0"/>
          <w:i w:val="0"/>
          <w:sz w:val="22"/>
        </w:rPr>
        <w:t>Sample Producer, Senior Benefits Consultant</w:t>
        <w:br/>
        <w:t>BenefitAgent.ai — Sample Firm</w:t>
        <w:br/>
        <w:t>200 W Madison Street, Suite 2400</w:t>
        <w:br/>
        <w:t>Chicago, IL 60606</w:t>
        <w:br/>
        <w:t>demo@benefitagent.ai  |  (312) 555-0142</w:t>
      </w:r>
    </w:p>
    <w:p>
      <w:r>
        <w:rPr>
          <w:rFonts w:ascii="Calibri" w:hAnsi="Calibri"/>
          <w:b w:val="0"/>
          <w:i/>
          <w:color w:val="555555"/>
          <w:sz w:val="18"/>
        </w:rPr>
        <w:t>Generated by BenefitAgent.ai prototype. Edit broker_config.json to customize firm details and contact information across all outputs.</w:t>
      </w:r>
    </w:p>
    <w:sectPr w:rsidR="00FC693F" w:rsidRPr="0006063C" w:rsidSect="00034616">
      <w:headerReference w:type="default"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color w:val="555555"/>
        <w:sz w:val="18"/>
      </w:rPr>
      <w:t>Sample Producer  |  demo@benefitagent.ai  |  (312) 555-0142</w:t>
      <w:tab/>
      <w:tab/>
    </w:r>
    <w:r>
      <w:rPr>
        <w:color w:val="555555"/>
        <w:sz w:val="18"/>
      </w:rPr>
      <w:t xml:space="preserve">Page </w:t>
    </w:r>
    <w:r>
      <w:rPr>
        <w:color w:val="555555"/>
        <w:sz w:val="18"/>
      </w:rPr>
      <w:fldChar w:fldCharType="begin"/>
      <w:instrText xml:space="preserve">PAGE</w:instrText>
      <w:fldChar w:fldCharType="separate"/>
      <w:fldChar w:fldCharType="end"/>
    </w:r>
    <w:r>
      <w:rPr>
        <w:color w:val="555555"/>
        <w:sz w:val="18"/>
      </w:rPr>
      <w:t xml:space="preserve"> of </w:t>
    </w:r>
    <w:r>
      <w:rPr>
        <w:color w:val="555555"/>
        <w:sz w:val="18"/>
      </w:rPr>
      <w:fldChar w:fldCharType="begin"/>
      <w:instrText xml:space="preserve">NUMPAGES</w:instrText>
      <w:fldChar w:fldCharType="separate"/>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color w:val="999999"/>
        <w:sz w:val="18"/>
      </w:rPr>
      <w:t>BenefitAgent.ai — Sample Firm  |  ACME Corporation — 2026 RFP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